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47" w:rsidRPr="000046C3" w:rsidRDefault="001F3247" w:rsidP="00CE6EBE">
      <w:pPr>
        <w:pStyle w:val="Titolo1"/>
        <w:spacing w:before="0"/>
      </w:pPr>
      <w:r>
        <w:t>UDA</w:t>
      </w:r>
      <w:r w:rsidRPr="000046C3">
        <w:t xml:space="preserve"> STEM</w:t>
      </w:r>
    </w:p>
    <w:p w:rsidR="006F0807" w:rsidRPr="006F0807" w:rsidRDefault="006F0807" w:rsidP="006F0807">
      <w:r w:rsidRPr="006F0807">
        <w:t>Le discipline STEM sono un acronimo che sta per Science (Scienza), Technology (Tecnologia), Engineering (Ingegneria) e Mathematics (Matematica). Queste aree di studio sono fondamentali per l'innovazione tecnologica e lo sviluppo economico, e offrono competenze cruciali per risolvere problemi complessi nel mondo moderno. </w:t>
      </w:r>
      <w:r>
        <w:br/>
      </w:r>
    </w:p>
    <w:p w:rsidR="001F3247" w:rsidRPr="000046C3" w:rsidRDefault="001F3247" w:rsidP="001F3247">
      <w:pPr>
        <w:pStyle w:val="Titolo2"/>
      </w:pPr>
      <w:r w:rsidRPr="000046C3">
        <w:t xml:space="preserve">Indicazioni metodologiche specifiche per il secondo ciclo di istruzione </w:t>
      </w:r>
    </w:p>
    <w:p w:rsidR="001F3247" w:rsidRPr="000046C3" w:rsidRDefault="001F3247" w:rsidP="001F3247">
      <w:r w:rsidRPr="000046C3">
        <w:t xml:space="preserve">Per quanto riguarda la scuola secondaria di secondo grado, ferma restando la specificità dei vari indirizzi di studio, i documenti pedagogici di riferimento prevedono una didattica centrata sul protagonismo degli studenti, con l’obiettivo di sviluppare in loro la capacità critica, lo spirito d'osservazione e la creatività. </w:t>
      </w:r>
    </w:p>
    <w:p w:rsidR="001F3247" w:rsidRDefault="001F3247" w:rsidP="001F3247">
      <w:r w:rsidRPr="000046C3">
        <w:t xml:space="preserve">La metodologia deve quindi prevedere il superamento di una didattica trasmissiva a favore di attività e momenti di lavoro in gruppo, di ricerca e di sperimentazione. </w:t>
      </w:r>
    </w:p>
    <w:p w:rsidR="001F3247" w:rsidRPr="000046C3" w:rsidRDefault="001F3247" w:rsidP="001F3247">
      <w:r w:rsidRPr="000046C3">
        <w:t xml:space="preserve">In particolare, si forniscono alcune possibili indicazioni metodologiche, anche se non esaustive: </w:t>
      </w:r>
    </w:p>
    <w:p w:rsidR="001F3247" w:rsidRDefault="001F3247" w:rsidP="001F3247">
      <w:pPr>
        <w:pStyle w:val="Paragrafoelenco"/>
        <w:numPr>
          <w:ilvl w:val="0"/>
          <w:numId w:val="3"/>
        </w:numPr>
      </w:pPr>
      <w:r w:rsidRPr="001A0134">
        <w:rPr>
          <w:b/>
        </w:rPr>
        <w:t>Promuovere la realizzazione di attività pratiche e di laboratorio.</w:t>
      </w:r>
      <w:r w:rsidRPr="000046C3">
        <w:t xml:space="preserve"> </w:t>
      </w:r>
      <w:r w:rsidRPr="000046C3">
        <w:br/>
        <w:t xml:space="preserve">L’acquisizione di competenze tecniche specifiche attraverso l’utilizzo di strumenti e attrezzature, considerata la dimensione costitutiva delle discipline STEM, si realizza individuando attività sperimentali particolarmente significative che possono essere svolte in laboratorio, in classe o “sul campo”. </w:t>
      </w:r>
      <w:r>
        <w:br/>
      </w:r>
      <w:r w:rsidRPr="000046C3">
        <w:t xml:space="preserve">Tali attività sono da privilegiare rispetto ad altre puramente teoriche o mnemoniche. </w:t>
      </w:r>
      <w:r>
        <w:br/>
      </w:r>
    </w:p>
    <w:p w:rsidR="001F3247" w:rsidRDefault="001F3247" w:rsidP="001F3247">
      <w:pPr>
        <w:pStyle w:val="Paragrafoelenco"/>
        <w:numPr>
          <w:ilvl w:val="0"/>
          <w:numId w:val="3"/>
        </w:numPr>
      </w:pPr>
      <w:r w:rsidRPr="001A0134">
        <w:rPr>
          <w:b/>
        </w:rPr>
        <w:t>Utilizzare metodologie attive e collaborative.</w:t>
      </w:r>
      <w:r w:rsidRPr="000046C3">
        <w:t xml:space="preserve"> </w:t>
      </w:r>
      <w:r w:rsidRPr="000046C3">
        <w:br/>
        <w:t>Con il lavoro di gruppo, il problem solving, la ricerca guidata, il dibattito, la cooperazione con gli altri studenti, si favorisce l’acquisizione del metodo sperimentale, dove “l’esperimento è inteso come interrogazione ragionata dei fenomeni naturali, analisi critica dei dati e dell’affidabilità di un processo di misura, costruzio</w:t>
      </w:r>
      <w:r>
        <w:t>ne e/o validazione di modelli”</w:t>
      </w:r>
      <w:r w:rsidRPr="000046C3">
        <w:t xml:space="preserve"> .</w:t>
      </w:r>
      <w:r>
        <w:br/>
      </w:r>
      <w:r w:rsidRPr="000046C3">
        <w:t xml:space="preserve"> </w:t>
      </w:r>
    </w:p>
    <w:p w:rsidR="001F3247" w:rsidRDefault="001F3247" w:rsidP="001F3247">
      <w:pPr>
        <w:pStyle w:val="Paragrafoelenco"/>
        <w:numPr>
          <w:ilvl w:val="0"/>
          <w:numId w:val="3"/>
        </w:numPr>
      </w:pPr>
      <w:r w:rsidRPr="001A0134">
        <w:rPr>
          <w:b/>
        </w:rPr>
        <w:t>Favorire la costruzione di conoscenze attraverso l’utilizzo di strumenti tecnologici e informatici.</w:t>
      </w:r>
      <w:r w:rsidRPr="000046C3">
        <w:t xml:space="preserve"> </w:t>
      </w:r>
      <w:r w:rsidRPr="000046C3">
        <w:br/>
        <w:t xml:space="preserve">Un uso appropriato, critico e ragionato degli strumenti tecnologici ed informatici favorisce l’apprendimento significativo laddove tali strumenti sostengono processi cognitivi quali investigare, esplorare, progettare, costruire modelli e richiedono agli studenti di riflettere e rielaborare le informazioni per costruire, in gruppo, nuove conoscenze, abilità e competenze. </w:t>
      </w:r>
      <w:r>
        <w:br/>
      </w:r>
    </w:p>
    <w:p w:rsidR="001F3247" w:rsidRPr="000046C3" w:rsidRDefault="001F3247" w:rsidP="001F3247">
      <w:pPr>
        <w:pStyle w:val="Paragrafoelenco"/>
        <w:numPr>
          <w:ilvl w:val="0"/>
          <w:numId w:val="3"/>
        </w:numPr>
      </w:pPr>
      <w:r w:rsidRPr="001A0134">
        <w:rPr>
          <w:b/>
        </w:rPr>
        <w:t>Promuovere attività che affrontino questioni e problemi di natura applicativa.</w:t>
      </w:r>
      <w:r w:rsidRPr="000046C3">
        <w:t xml:space="preserve"> </w:t>
      </w:r>
      <w:r w:rsidRPr="000046C3">
        <w:br/>
        <w:t xml:space="preserve">In questo modo è possibile far emergere, anche con riferimento alla futura vita sociale e lavorativa degli studenti, i collegamenti tra le competenze di natura prevalentemente tecnica e tecnologica, propria dei vari indirizzi e percorsi, e le conoscenze e abilità connesse agli assi matematico e scientifico-tecnologico. </w:t>
      </w:r>
      <w:r>
        <w:br/>
      </w:r>
    </w:p>
    <w:p w:rsidR="001F3247" w:rsidRPr="000046C3" w:rsidRDefault="001F3247" w:rsidP="001F3247">
      <w:pPr>
        <w:pStyle w:val="Paragrafoelenco"/>
        <w:numPr>
          <w:ilvl w:val="0"/>
          <w:numId w:val="3"/>
        </w:numPr>
      </w:pPr>
      <w:r w:rsidRPr="001A0134">
        <w:rPr>
          <w:b/>
        </w:rPr>
        <w:t>Utilizzare metodologie didattiche per un apprendimento di tipo induttivo</w:t>
      </w:r>
      <w:r w:rsidRPr="000046C3">
        <w:t xml:space="preserve">. </w:t>
      </w:r>
      <w:r w:rsidRPr="000046C3">
        <w:br/>
        <w:t>Attraverso esperienze di laboratorio o in contesti operativi, si consente agli studenti di analizzare problemi, trovare soluzioni, realizzare e gestire progetti. Si può, così, intercettare l’evoluzione del fabbisogno di competenze che emerge dalle richieste del mondo del lavoro offrendo possibili risposte alle nuove necessità occupazionali.</w:t>
      </w:r>
    </w:p>
    <w:p w:rsidR="001F3247" w:rsidRDefault="001F3247" w:rsidP="001F3247">
      <w:r>
        <w:br w:type="page"/>
      </w:r>
    </w:p>
    <w:p w:rsidR="001F3247" w:rsidRDefault="001F3247" w:rsidP="001F3247">
      <w:pPr>
        <w:pStyle w:val="Titolo1"/>
      </w:pPr>
      <w:r>
        <w:lastRenderedPageBreak/>
        <w:t>PROGETTO TAVOLA PNEUMATICA INDICIZZATA</w:t>
      </w:r>
    </w:p>
    <w:p w:rsidR="00D77BDF" w:rsidRDefault="00D77BDF" w:rsidP="004A4CA3">
      <w:pPr>
        <w:spacing w:before="0" w:after="0" w:line="240" w:lineRule="auto"/>
      </w:pPr>
    </w:p>
    <w:p w:rsidR="00D77BDF" w:rsidRDefault="00D77BDF" w:rsidP="004A4CA3">
      <w:pPr>
        <w:spacing w:before="0" w:after="0" w:line="240" w:lineRule="auto"/>
      </w:pPr>
      <w:r>
        <w:t>Si vuole progettare una tavola indicizzata a 6 posizioni comandata da un cilindro pneumatico collegato ad un sistema biella manovella e a una trasmissione a  croce di malta.</w:t>
      </w:r>
    </w:p>
    <w:p w:rsidR="00D77BDF" w:rsidRDefault="00D77BDF" w:rsidP="004A4CA3">
      <w:pPr>
        <w:spacing w:before="120" w:after="0" w:line="240" w:lineRule="auto"/>
      </w:pPr>
      <w:r>
        <w:t>Il progetto prevede:</w:t>
      </w:r>
    </w:p>
    <w:p w:rsidR="00D77BDF" w:rsidRDefault="00D77BDF" w:rsidP="004A4CA3">
      <w:pPr>
        <w:pStyle w:val="Paragrafoelenco"/>
        <w:numPr>
          <w:ilvl w:val="0"/>
          <w:numId w:val="1"/>
        </w:numPr>
        <w:spacing w:before="120" w:after="0" w:line="240" w:lineRule="auto"/>
      </w:pPr>
      <w:r>
        <w:t>scelta del cilindro pneumatico dal catalogo Metalworsks e ricerca del modello 3D</w:t>
      </w:r>
      <w:r w:rsidR="004A4CA3">
        <w:t xml:space="preserve"> (SISTEMI)</w:t>
      </w:r>
    </w:p>
    <w:p w:rsidR="00D77BDF" w:rsidRDefault="00D77BDF" w:rsidP="004A4CA3">
      <w:pPr>
        <w:pStyle w:val="Paragrafoelenco"/>
        <w:numPr>
          <w:ilvl w:val="0"/>
          <w:numId w:val="1"/>
        </w:numPr>
        <w:spacing w:before="120" w:after="0" w:line="240" w:lineRule="auto"/>
      </w:pPr>
      <w:r>
        <w:t>disegno del meccanismo 3D a croce di malta di cui sono assegnate le viste 2D</w:t>
      </w:r>
      <w:r w:rsidR="004A4CA3">
        <w:t xml:space="preserve"> (DISEGNO)</w:t>
      </w:r>
    </w:p>
    <w:p w:rsidR="00D77BDF" w:rsidRDefault="00D77BDF" w:rsidP="004A4CA3">
      <w:pPr>
        <w:pStyle w:val="Paragrafoelenco"/>
        <w:numPr>
          <w:ilvl w:val="0"/>
          <w:numId w:val="1"/>
        </w:numPr>
        <w:spacing w:before="120" w:after="0" w:line="240" w:lineRule="auto"/>
      </w:pPr>
      <w:r>
        <w:t>modellizzazione del sistema biella manovella, del sistema di blocco e della tavola indicizzata</w:t>
      </w:r>
      <w:r w:rsidR="004A4CA3">
        <w:t xml:space="preserve"> (DISEGNO)</w:t>
      </w:r>
    </w:p>
    <w:p w:rsidR="00D77BDF" w:rsidRDefault="00D77BDF" w:rsidP="004A4CA3">
      <w:pPr>
        <w:pStyle w:val="Paragrafoelenco"/>
        <w:numPr>
          <w:ilvl w:val="0"/>
          <w:numId w:val="1"/>
        </w:numPr>
        <w:spacing w:before="120" w:after="0" w:line="240" w:lineRule="auto"/>
      </w:pPr>
      <w:r>
        <w:t xml:space="preserve">creazione assieme della tavola e analisi cinematica </w:t>
      </w:r>
      <w:r w:rsidR="004A4CA3">
        <w:t xml:space="preserve">  (DISEGNO)</w:t>
      </w:r>
    </w:p>
    <w:p w:rsidR="004A4CA3" w:rsidRDefault="00D77BDF" w:rsidP="004A4CA3">
      <w:pPr>
        <w:pStyle w:val="Paragrafoelenco"/>
        <w:numPr>
          <w:ilvl w:val="0"/>
          <w:numId w:val="1"/>
        </w:numPr>
        <w:spacing w:before="120" w:after="0" w:line="240" w:lineRule="auto"/>
      </w:pPr>
      <w:r>
        <w:t>verifica del sistema biella manovella con una pressi</w:t>
      </w:r>
      <w:r w:rsidR="00C5234B">
        <w:t>one di lavoro di 10</w:t>
      </w:r>
      <w:r w:rsidR="004A4CA3">
        <w:t xml:space="preserve"> BAR  (MECCANICA)</w:t>
      </w:r>
    </w:p>
    <w:p w:rsidR="004A4CA3" w:rsidRDefault="00D77BDF" w:rsidP="004A4CA3">
      <w:pPr>
        <w:spacing w:before="120" w:after="0" w:line="240" w:lineRule="auto"/>
      </w:pPr>
      <w:r>
        <w:t xml:space="preserve">Vincoli da rispettare: </w:t>
      </w:r>
    </w:p>
    <w:p w:rsidR="004A4CA3" w:rsidRDefault="00D77BDF" w:rsidP="004A4CA3">
      <w:pPr>
        <w:pStyle w:val="Paragrafoelenco"/>
        <w:numPr>
          <w:ilvl w:val="0"/>
          <w:numId w:val="2"/>
        </w:numPr>
        <w:spacing w:before="120" w:after="0" w:line="240" w:lineRule="auto"/>
      </w:pPr>
      <w:r>
        <w:t>Utilizzo di cuscinetti BS292 20x42x12</w:t>
      </w:r>
    </w:p>
    <w:p w:rsidR="004A4CA3" w:rsidRDefault="00D77BDF" w:rsidP="004A4CA3">
      <w:pPr>
        <w:pStyle w:val="Paragrafoelenco"/>
        <w:numPr>
          <w:ilvl w:val="0"/>
          <w:numId w:val="2"/>
        </w:numPr>
        <w:spacing w:before="120" w:after="0" w:line="240" w:lineRule="auto"/>
      </w:pPr>
      <w:r>
        <w:t>Anelli di arresto da centro contenuti</w:t>
      </w:r>
    </w:p>
    <w:p w:rsidR="00D77BDF" w:rsidRDefault="00C5234B" w:rsidP="004A4CA3">
      <w:pPr>
        <w:pStyle w:val="Paragrafoelenco"/>
        <w:numPr>
          <w:ilvl w:val="0"/>
          <w:numId w:val="2"/>
        </w:numPr>
        <w:spacing w:before="0" w:after="0" w:line="240" w:lineRule="auto"/>
      </w:pPr>
      <w:r>
        <w:t>Cilindro con diametro 50mm e c</w:t>
      </w:r>
      <w:r w:rsidR="00D77BDF">
        <w:t>orsa 100mm</w:t>
      </w:r>
    </w:p>
    <w:p w:rsidR="00563C84" w:rsidRDefault="00D77BDF">
      <w:r>
        <w:rPr>
          <w:noProof/>
          <w:lang w:val="it-IT" w:eastAsia="it-IT" w:bidi="ar-SA"/>
        </w:rPr>
        <w:drawing>
          <wp:inline distT="0" distB="0" distL="0" distR="0">
            <wp:extent cx="6404899" cy="592066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64" cy="59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84" w:rsidRDefault="00563C84">
      <w:r>
        <w:br w:type="page"/>
      </w:r>
    </w:p>
    <w:p w:rsidR="00D77BDF" w:rsidRDefault="00D77BDF"/>
    <w:p w:rsidR="00AC5C1C" w:rsidRDefault="00AC5C1C" w:rsidP="00AC5C1C">
      <w:pPr>
        <w:pStyle w:val="Titolo2"/>
      </w:pPr>
      <w:r>
        <w:t>Dettaglio trasmissione</w:t>
      </w:r>
    </w:p>
    <w:p w:rsidR="00AC5C1C" w:rsidRPr="00EB20AB" w:rsidRDefault="00EB20AB" w:rsidP="00EB20AB">
      <w:r w:rsidRPr="00EB20AB">
        <w:t>La croce di Malta è un meccanismo che trasforma un moto rotatorio continuo in un moto rotatorio intermittente</w:t>
      </w:r>
    </w:p>
    <w:p w:rsidR="00AC5C1C" w:rsidRDefault="00AC5C1C" w:rsidP="00585163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4587700" cy="4016416"/>
            <wp:effectExtent l="19050" t="0" r="3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68" cy="40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37" w:rsidRDefault="00585163" w:rsidP="00585163">
      <w:pPr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6230294" cy="3860157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30" cy="38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DC" w:rsidRDefault="002E43DC">
      <w:r>
        <w:br w:type="page"/>
      </w:r>
    </w:p>
    <w:p w:rsidR="005E4137" w:rsidRDefault="005E4137">
      <w:r>
        <w:lastRenderedPageBreak/>
        <w:t>Vincolo di movimento transitorio</w:t>
      </w:r>
    </w:p>
    <w:p w:rsidR="005E4137" w:rsidRDefault="005E4137">
      <w:r>
        <w:rPr>
          <w:noProof/>
          <w:lang w:val="it-IT" w:eastAsia="it-IT" w:bidi="ar-SA"/>
        </w:rPr>
        <w:drawing>
          <wp:inline distT="0" distB="0" distL="0" distR="0">
            <wp:extent cx="6645910" cy="4531700"/>
            <wp:effectExtent l="1905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Animazione (vincolo parallelismo bielletta e piano origine)</w:t>
      </w:r>
    </w:p>
    <w:p w:rsidR="00C5234B" w:rsidRDefault="005E4137">
      <w:r>
        <w:rPr>
          <w:noProof/>
          <w:lang w:val="it-IT" w:eastAsia="it-IT" w:bidi="ar-SA"/>
        </w:rPr>
        <w:drawing>
          <wp:inline distT="0" distB="0" distL="0" distR="0">
            <wp:extent cx="6645910" cy="3449102"/>
            <wp:effectExtent l="1905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4B" w:rsidRDefault="00C5234B">
      <w:r>
        <w:br w:type="page"/>
      </w:r>
    </w:p>
    <w:p w:rsidR="00C5234B" w:rsidRPr="00756C9C" w:rsidRDefault="00C5234B" w:rsidP="00C5234B">
      <w:pPr>
        <w:rPr>
          <w:b/>
          <w:sz w:val="28"/>
          <w:szCs w:val="28"/>
        </w:rPr>
      </w:pPr>
      <w:r w:rsidRPr="00756C9C">
        <w:rPr>
          <w:b/>
          <w:sz w:val="28"/>
          <w:szCs w:val="28"/>
        </w:rPr>
        <w:lastRenderedPageBreak/>
        <w:t>Valutazione sollecitazione massima sulla biella</w:t>
      </w:r>
    </w:p>
    <w:p w:rsidR="00C5234B" w:rsidRDefault="00C5234B" w:rsidP="00C5234B">
      <w:r>
        <w:t>La forza massima che si scaricata sulla manovella da un cilindro pneumatico D=50mm a pressione 10BAR risulta pari a 1962,5N. Lo sforzo uniforme di compressione che ne deriva è pari a 9,8125 MPa.</w:t>
      </w:r>
    </w:p>
    <w:p w:rsidR="00C5234B" w:rsidRDefault="00C5234B" w:rsidP="00C5234B">
      <w:r w:rsidRPr="00756C9C">
        <w:rPr>
          <w:b/>
        </w:rPr>
        <w:t>Semplificazione asta semplice a sezione rettangolare 20x10mm lunghezza 100mm</w:t>
      </w:r>
      <w:r w:rsidRPr="00756C9C">
        <w:rPr>
          <w:b/>
        </w:rPr>
        <w:br/>
      </w:r>
      <w:r>
        <w:t>Faccia di destra boccata con vincolo di fissaggio (incastro) e faccia di sinistra con forza applicata nel baricentro.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6115050" cy="3977986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4B" w:rsidRDefault="00C5234B" w:rsidP="00C5234B">
      <w:r>
        <w:t>Lo sforzo medio nell’asta è pari a 9,81 MPa (come da teoria) mentre in prossimità del vincolo arriva circa 13.</w:t>
      </w:r>
    </w:p>
    <w:p w:rsidR="00C5234B" w:rsidRPr="00756C9C" w:rsidRDefault="00C5234B" w:rsidP="00C5234B">
      <w:pPr>
        <w:rPr>
          <w:b/>
        </w:rPr>
      </w:pPr>
      <w:r w:rsidRPr="00756C9C">
        <w:rPr>
          <w:b/>
        </w:rPr>
        <w:t>Semplificazione asta semplice a sezione rettangolare 20x10mm lunghezza 80mm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6154007" cy="3136900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7" cy="31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4B" w:rsidRDefault="00C5234B" w:rsidP="00C5234B">
      <w:r>
        <w:t>Questo esempio con asta di 80mm mostra che la lunghezza non ha influito sui calcoli.</w:t>
      </w:r>
    </w:p>
    <w:p w:rsidR="00C5234B" w:rsidRPr="007C08D1" w:rsidRDefault="00C5234B" w:rsidP="00C5234B">
      <w:pPr>
        <w:rPr>
          <w:b/>
        </w:rPr>
      </w:pPr>
      <w:r w:rsidRPr="007C08D1">
        <w:rPr>
          <w:b/>
        </w:rPr>
        <w:lastRenderedPageBreak/>
        <w:t>Biella modellizzata con fori per ospitare i perni</w:t>
      </w:r>
    </w:p>
    <w:p w:rsidR="00C5234B" w:rsidRDefault="00C5234B" w:rsidP="00C5234B">
      <w:r>
        <w:t>In questo esempio è stato aggiunto un perno (dello stesso materiale) che è vincolato con un giunto rotazionale alla biella. Al perno è stato applicato un vincolo di fissaggio (incastro). Sul foro di sinistra è stato applicato un carico cuscinetto pari a 1962,5N.</w:t>
      </w:r>
      <w:r>
        <w:br/>
        <w:t>Risulta uno sforzo nella zona centrale simile a quello teorico (9,87MPa) ma in corrispondenza del perno di spinta la sollecitazione sale a 13,3MPa.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5397500" cy="3792859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83" cy="37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5234B" w:rsidRDefault="00C5234B" w:rsidP="00C5234B">
      <w:r>
        <w:t>In questa analisi è stato tolto il perno di destra ed la manovella è stata bloccata con un incastro nella sede del perno.</w:t>
      </w:r>
      <w:r>
        <w:br/>
        <w:t>I risultati sono simili al caso precedente.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5535996" cy="3642321"/>
            <wp:effectExtent l="19050" t="0" r="7554" b="0"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96" cy="364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4B" w:rsidRPr="00C5234B" w:rsidRDefault="00C5234B" w:rsidP="00C5234B">
      <w:pPr>
        <w:rPr>
          <w:b/>
        </w:rPr>
      </w:pPr>
      <w:r w:rsidRPr="007D7802">
        <w:rPr>
          <w:b/>
        </w:rPr>
        <w:lastRenderedPageBreak/>
        <w:t>Snellimento della biella</w:t>
      </w:r>
      <w:r>
        <w:br/>
        <w:t>Poichè il carico di snervamento dell’alluminio con cui è realizzata la biella (210MPa) è molto alto rispetto allo sforzo massimo si può procedere a snellire la biella come in figura.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5454824" cy="2595818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88" cy="25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4B" w:rsidRDefault="00C5234B" w:rsidP="00C5234B">
      <w:r>
        <w:t>Ne risulta un aumento della sollecitazione massima fino a 21,37Mpa che resta comunque molto bass</w:t>
      </w:r>
      <w:r w:rsidR="00AC7A3B">
        <w:t>a rispetto ad un carico di senrvamento dell’allumino di 210MPa</w:t>
      </w:r>
      <w:r>
        <w:t>.</w:t>
      </w:r>
    </w:p>
    <w:p w:rsidR="00C5234B" w:rsidRDefault="00C5234B" w:rsidP="00C5234B">
      <w:r>
        <w:rPr>
          <w:noProof/>
          <w:lang w:val="it-IT" w:eastAsia="it-IT" w:bidi="ar-SA"/>
        </w:rPr>
        <w:drawing>
          <wp:inline distT="0" distB="0" distL="0" distR="0">
            <wp:extent cx="6645910" cy="5008512"/>
            <wp:effectExtent l="1905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37" w:rsidRDefault="005E4137"/>
    <w:p w:rsidR="00585163" w:rsidRDefault="00585163" w:rsidP="00585163">
      <w:pPr>
        <w:jc w:val="center"/>
      </w:pPr>
    </w:p>
    <w:sectPr w:rsidR="00585163" w:rsidSect="00D77BDF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F98" w:rsidRDefault="002F2F98" w:rsidP="00BC4BAA">
      <w:pPr>
        <w:spacing w:before="0" w:after="0" w:line="240" w:lineRule="auto"/>
      </w:pPr>
      <w:r>
        <w:separator/>
      </w:r>
    </w:p>
  </w:endnote>
  <w:endnote w:type="continuationSeparator" w:id="0">
    <w:p w:rsidR="002F2F98" w:rsidRDefault="002F2F98" w:rsidP="00BC4B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AA" w:rsidRDefault="00BC4BAA" w:rsidP="00BC4BAA">
    <w:pPr>
      <w:pStyle w:val="Pidipagina"/>
      <w:jc w:val="right"/>
    </w:pPr>
    <w:r>
      <w:t>IIS Castellli a.s 2025-26  Meccatronica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F98" w:rsidRDefault="002F2F98" w:rsidP="00BC4BAA">
      <w:pPr>
        <w:spacing w:before="0" w:after="0" w:line="240" w:lineRule="auto"/>
      </w:pPr>
      <w:r>
        <w:separator/>
      </w:r>
    </w:p>
  </w:footnote>
  <w:footnote w:type="continuationSeparator" w:id="0">
    <w:p w:rsidR="002F2F98" w:rsidRDefault="002F2F98" w:rsidP="00BC4BA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C47"/>
    <w:multiLevelType w:val="hybridMultilevel"/>
    <w:tmpl w:val="68064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97EDB"/>
    <w:multiLevelType w:val="hybridMultilevel"/>
    <w:tmpl w:val="E8BAE6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2128B"/>
    <w:multiLevelType w:val="hybridMultilevel"/>
    <w:tmpl w:val="2F067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7BDF"/>
    <w:rsid w:val="00134AFD"/>
    <w:rsid w:val="001F3247"/>
    <w:rsid w:val="00245606"/>
    <w:rsid w:val="002E43DC"/>
    <w:rsid w:val="002F2F98"/>
    <w:rsid w:val="004A4CA3"/>
    <w:rsid w:val="004C576E"/>
    <w:rsid w:val="00563C84"/>
    <w:rsid w:val="00585163"/>
    <w:rsid w:val="0059295B"/>
    <w:rsid w:val="005E4137"/>
    <w:rsid w:val="005F7FCA"/>
    <w:rsid w:val="00622A8C"/>
    <w:rsid w:val="0062662C"/>
    <w:rsid w:val="006F0807"/>
    <w:rsid w:val="007F2EB9"/>
    <w:rsid w:val="00946E81"/>
    <w:rsid w:val="00AC119B"/>
    <w:rsid w:val="00AC5C1C"/>
    <w:rsid w:val="00AC7A3B"/>
    <w:rsid w:val="00AD4421"/>
    <w:rsid w:val="00BA0A83"/>
    <w:rsid w:val="00BC4BAA"/>
    <w:rsid w:val="00C45124"/>
    <w:rsid w:val="00C5234B"/>
    <w:rsid w:val="00CE6EBE"/>
    <w:rsid w:val="00D15BEF"/>
    <w:rsid w:val="00D77BDF"/>
    <w:rsid w:val="00DA491C"/>
    <w:rsid w:val="00E54FED"/>
    <w:rsid w:val="00E65307"/>
    <w:rsid w:val="00E655C7"/>
    <w:rsid w:val="00EB20AB"/>
    <w:rsid w:val="00F449A5"/>
    <w:rsid w:val="00FF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CA3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A4CA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A4CA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A4CA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A4CA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A4CA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A4CA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A4CA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A4C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A4C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B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BDF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4CA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A4CA3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A4CA3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A4CA3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A4CA3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A4CA3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A4CA3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A4CA3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A4CA3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A4CA3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4A4CA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4A4CA3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A4CA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A4CA3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4A4CA3"/>
    <w:rPr>
      <w:b/>
      <w:bCs/>
    </w:rPr>
  </w:style>
  <w:style w:type="character" w:styleId="Enfasicorsivo">
    <w:name w:val="Emphasis"/>
    <w:uiPriority w:val="20"/>
    <w:qFormat/>
    <w:rsid w:val="004A4CA3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4A4CA3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A4CA3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4A4CA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A4CA3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A4CA3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A4CA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A4CA3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4A4CA3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4A4CA3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4A4CA3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4A4CA3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4A4CA3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A4CA3"/>
    <w:pPr>
      <w:outlineLvl w:val="9"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BC4BA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4BAA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C4BAA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4BAA"/>
    <w:rPr>
      <w:sz w:val="20"/>
      <w:szCs w:val="20"/>
    </w:rPr>
  </w:style>
  <w:style w:type="character" w:customStyle="1" w:styleId="vkekvd">
    <w:name w:val="vkekvd"/>
    <w:basedOn w:val="Carpredefinitoparagrafo"/>
    <w:rsid w:val="006F0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9</cp:revision>
  <dcterms:created xsi:type="dcterms:W3CDTF">2025-11-17T18:20:00Z</dcterms:created>
  <dcterms:modified xsi:type="dcterms:W3CDTF">2025-11-18T06:15:00Z</dcterms:modified>
</cp:coreProperties>
</file>